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2AD" w:rsidRPr="00BA22AD" w:rsidRDefault="00BA22AD" w:rsidP="00BA22AD">
      <w:pPr>
        <w:keepNext/>
        <w:keepLines/>
        <w:spacing w:before="200" w:after="0"/>
        <w:outlineLvl w:val="2"/>
        <w:rPr>
          <w:rFonts w:asciiTheme="majorHAnsi" w:eastAsiaTheme="majorEastAsia" w:hAnsiTheme="majorHAnsi" w:cstheme="majorBidi"/>
          <w:b/>
          <w:bCs/>
          <w:color w:val="4F81BD" w:themeColor="accent1"/>
        </w:rPr>
      </w:pPr>
      <w:r w:rsidRPr="00BA22AD">
        <w:rPr>
          <w:rFonts w:asciiTheme="majorHAnsi" w:eastAsiaTheme="majorEastAsia" w:hAnsiTheme="majorHAnsi" w:cstheme="majorBidi"/>
          <w:b/>
          <w:bCs/>
          <w:color w:val="4F81BD" w:themeColor="accent1"/>
        </w:rPr>
        <w:t>La programmazione comunitaria</w:t>
      </w:r>
      <w:r>
        <w:rPr>
          <w:rFonts w:asciiTheme="majorHAnsi" w:eastAsiaTheme="majorEastAsia" w:hAnsiTheme="majorHAnsi" w:cstheme="majorBidi"/>
          <w:b/>
          <w:bCs/>
          <w:color w:val="4F81BD" w:themeColor="accent1"/>
        </w:rPr>
        <w:t xml:space="preserve"> nei comuni italiani</w:t>
      </w:r>
    </w:p>
    <w:p w:rsidR="00BA22AD" w:rsidRPr="00BA22AD" w:rsidRDefault="00BA22AD" w:rsidP="00BA22AD"/>
    <w:p w:rsidR="0088620A" w:rsidRDefault="0088620A" w:rsidP="00BA22AD">
      <w:pPr>
        <w:autoSpaceDE w:val="0"/>
        <w:autoSpaceDN w:val="0"/>
        <w:spacing w:after="0" w:line="288" w:lineRule="auto"/>
        <w:jc w:val="both"/>
        <w:rPr>
          <w:rFonts w:ascii="Calibri" w:hAnsi="Calibri" w:cs="Times New Roman"/>
          <w:color w:val="000000"/>
        </w:rPr>
      </w:pPr>
    </w:p>
    <w:p w:rsidR="0088620A" w:rsidRDefault="0088620A" w:rsidP="00BA22AD">
      <w:pPr>
        <w:autoSpaceDE w:val="0"/>
        <w:autoSpaceDN w:val="0"/>
        <w:spacing w:after="0" w:line="288" w:lineRule="auto"/>
        <w:jc w:val="both"/>
        <w:rPr>
          <w:rFonts w:ascii="Calibri" w:hAnsi="Calibri" w:cs="Times New Roman"/>
          <w:color w:val="000000"/>
        </w:rPr>
      </w:pPr>
    </w:p>
    <w:p w:rsidR="00BA22AD" w:rsidRDefault="00BA22AD" w:rsidP="00BA22AD">
      <w:pPr>
        <w:jc w:val="both"/>
      </w:pPr>
    </w:p>
    <w:p w:rsidR="001C5221" w:rsidRPr="00BA22AD" w:rsidRDefault="001C5221" w:rsidP="00BA22AD">
      <w:pPr>
        <w:jc w:val="both"/>
      </w:pPr>
      <w:bookmarkStart w:id="0" w:name="_GoBack"/>
      <w:bookmarkEnd w:id="0"/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7"/>
        <w:gridCol w:w="928"/>
        <w:gridCol w:w="928"/>
        <w:gridCol w:w="929"/>
        <w:gridCol w:w="1427"/>
        <w:gridCol w:w="1490"/>
        <w:gridCol w:w="1429"/>
      </w:tblGrid>
      <w:tr w:rsidR="00BA22AD" w:rsidRPr="00BA22AD" w:rsidTr="00EA1BC6">
        <w:trPr>
          <w:trHeight w:val="300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Tabella 1</w:t>
            </w: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I comuni soggetti attuatori dell'Obiettivo Competitività Regionale e Occupazione e dell'Obiettivo Convergenza, POR FESR 2007-2013</w:t>
            </w:r>
          </w:p>
        </w:tc>
      </w:tr>
      <w:tr w:rsidR="00BA22AD" w:rsidRPr="00BA22AD" w:rsidTr="00EA1BC6">
        <w:trPr>
          <w:trHeight w:val="1380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color w:val="000000"/>
                <w:sz w:val="20"/>
                <w:szCs w:val="20"/>
                <w:lang w:eastAsia="it-IT"/>
              </w:rPr>
              <w:t> Regioni e Province Autonome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N. comuni attuatori di progetti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N. progetti con comuni attuatori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% di comuni attuatori di progetti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Costo rendicontabile UE (euro) (a)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Pagamento rendicontabile UE (euro) (b)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Avanzamento rendicontabile (b/a)</w:t>
            </w:r>
          </w:p>
        </w:tc>
      </w:tr>
      <w:tr w:rsidR="00BA22AD" w:rsidRPr="00BA22AD" w:rsidTr="00EA1BC6">
        <w:trPr>
          <w:trHeight w:val="28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Obiettivo Competitività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Piemonte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6,7%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75.698.438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19.319.384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25,5%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Valle d'Aosta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79,7%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4.253.126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496.279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11,7%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Lombardia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216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274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14,0%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68.703.220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16.104.643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23,4%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P.A. Trento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31,8%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12.082.071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10.952.998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90,7%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P.A. Bolzano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6,0%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1.265.073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419.824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33,2%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Veneto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200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30,1%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33.720.268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4.226.534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12,5%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Friuli-Venezia Giulia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26,1%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36.935.920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3.702.669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10,0%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Liguria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230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36,2%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165.447.189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60.559.526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36,6%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Emilia-Romagna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0,0%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-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Toscana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254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32,4%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465.673.025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170.705.085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36,7%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Umbria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29,3%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47.629.983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22.864.564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48,0%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Marche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341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69,5%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61.759.981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16.302.080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26,4%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Lazio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319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47,4%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171.652.012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22.197.983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12,9%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Abruzzo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21,3%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13.166.394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9.785.011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74,3%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Molise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146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60,3%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27.324.344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23.933.967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87,6%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Sardegna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438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40,6%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180.229.815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71.879.178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39,9%</w:t>
            </w:r>
          </w:p>
        </w:tc>
      </w:tr>
      <w:tr w:rsidR="00BA22AD" w:rsidRPr="00BA22AD" w:rsidTr="00EA1BC6">
        <w:trPr>
          <w:trHeight w:val="552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Tot. Obiettivo Competitività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1.514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2.765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23,8%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1.365.540.857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453.449.726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33,2%</w:t>
            </w:r>
          </w:p>
        </w:tc>
      </w:tr>
      <w:tr w:rsidR="00BA22AD" w:rsidRPr="00BA22AD" w:rsidTr="00EA1BC6">
        <w:trPr>
          <w:trHeight w:val="288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Obiettivo Convergenza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Campania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166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411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30,1%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1.719.393.472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577.512.272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33,6%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Puglia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249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1.103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96,5%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971.320.709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456.300.857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47,0%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Basilicata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125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412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95,4%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126.580.491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62.988.582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49,8%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Calabria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393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1.477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96,1%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570.231.811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227.756.411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39,9%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Sicilia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253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40,0%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559.634.382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158.924.764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28,4%</w:t>
            </w:r>
          </w:p>
        </w:tc>
      </w:tr>
      <w:tr w:rsidR="00BA22AD" w:rsidRPr="00BA22AD" w:rsidTr="00EA1BC6">
        <w:trPr>
          <w:trHeight w:val="552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9999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Tot. Obiettivo Convergenza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1.089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3.656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62,6%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3.947.160.865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1.483.482.885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99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37,6%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 </w:t>
            </w:r>
          </w:p>
        </w:tc>
      </w:tr>
      <w:tr w:rsidR="00BA22AD" w:rsidRPr="00BA22AD" w:rsidTr="00EA1BC6">
        <w:trPr>
          <w:trHeight w:val="288"/>
        </w:trPr>
        <w:tc>
          <w:tcPr>
            <w:tcW w:w="10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Totale Obiettivi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2.603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6.421</w:t>
            </w:r>
          </w:p>
        </w:tc>
        <w:tc>
          <w:tcPr>
            <w:tcW w:w="5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32,2%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5.312.701.722</w:t>
            </w:r>
          </w:p>
        </w:tc>
        <w:tc>
          <w:tcPr>
            <w:tcW w:w="8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1.936.932.611</w:t>
            </w:r>
          </w:p>
        </w:tc>
        <w:tc>
          <w:tcPr>
            <w:tcW w:w="7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36,5%</w:t>
            </w:r>
          </w:p>
        </w:tc>
      </w:tr>
      <w:tr w:rsidR="00BA22AD" w:rsidRPr="00BA22AD" w:rsidTr="00EA1BC6">
        <w:trPr>
          <w:trHeight w:val="288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Fonte: elaborazione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Centro Documentazione e Studi Anci-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Ifel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</w:t>
            </w: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su dati </w:t>
            </w:r>
            <w:proofErr w:type="spellStart"/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OpenCoesione</w:t>
            </w:r>
            <w:proofErr w:type="spellEnd"/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aggiornati al 31.12.2012</w:t>
            </w:r>
          </w:p>
        </w:tc>
      </w:tr>
    </w:tbl>
    <w:p w:rsidR="00BA22AD" w:rsidRPr="00BA22AD" w:rsidRDefault="00BA22AD" w:rsidP="00BA22AD"/>
    <w:p w:rsidR="00BA22AD" w:rsidRPr="00BA22AD" w:rsidRDefault="00BA22AD" w:rsidP="00BA22AD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9"/>
        <w:gridCol w:w="1046"/>
        <w:gridCol w:w="1046"/>
        <w:gridCol w:w="1046"/>
        <w:gridCol w:w="1553"/>
        <w:gridCol w:w="1615"/>
        <w:gridCol w:w="1553"/>
      </w:tblGrid>
      <w:tr w:rsidR="00BA22AD" w:rsidRPr="00BA22AD" w:rsidTr="00EA1BC6">
        <w:trPr>
          <w:trHeight w:val="288"/>
        </w:trPr>
        <w:tc>
          <w:tcPr>
            <w:tcW w:w="5000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lastRenderedPageBreak/>
              <w:t xml:space="preserve">Tabella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</w:t>
            </w: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 xml:space="preserve"> I comuni soggetti attuatori dell'Obiettivo Competitività Regionale e Occupazione e dell'Obiettivo Convergenza, POR FESR 2007-2013, per classe demografica</w:t>
            </w:r>
          </w:p>
        </w:tc>
      </w:tr>
      <w:tr w:rsidR="00BA22AD" w:rsidRPr="00BA22AD" w:rsidTr="00EA1BC6">
        <w:trPr>
          <w:trHeight w:val="1380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Classe di ampiezza demografica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N. comuni attuatori di progetti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N. progetti con comuni attuatori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% di comuni attuatori di progetti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Costo rendicontabile UE (euro) (a)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Pagamento rendicontabile UE (euro) (b)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Avanzamento rendicontabile (b/a)</w:t>
            </w:r>
          </w:p>
        </w:tc>
      </w:tr>
      <w:tr w:rsidR="00BA22AD" w:rsidRPr="00BA22AD" w:rsidTr="00EA1BC6">
        <w:trPr>
          <w:trHeight w:val="288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0 - 1.999 abitanti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907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1.605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25,5%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449.831.962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196.610.125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43,7%</w:t>
            </w:r>
          </w:p>
        </w:tc>
      </w:tr>
      <w:tr w:rsidR="00BA22AD" w:rsidRPr="00BA22AD" w:rsidTr="00EA1BC6">
        <w:trPr>
          <w:trHeight w:val="288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2.000 - 4.999 abitanti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718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1.530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33,6%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553.656.202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232.453.791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42,0%</w:t>
            </w:r>
          </w:p>
        </w:tc>
      </w:tr>
      <w:tr w:rsidR="00BA22AD" w:rsidRPr="00BA22AD" w:rsidTr="00EA1BC6">
        <w:trPr>
          <w:trHeight w:val="288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5.000 - 9.999 abitanti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429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1.037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36,1%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506.316.689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208.797.683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41,2%</w:t>
            </w:r>
          </w:p>
        </w:tc>
      </w:tr>
      <w:tr w:rsidR="00BA22AD" w:rsidRPr="00BA22AD" w:rsidTr="00EA1BC6">
        <w:trPr>
          <w:trHeight w:val="288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10.000 - 19.999 abitanti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254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747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36,4%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470.989.794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197.952.638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42,0%</w:t>
            </w:r>
          </w:p>
        </w:tc>
      </w:tr>
      <w:tr w:rsidR="00BA22AD" w:rsidRPr="00BA22AD" w:rsidTr="00EA1BC6">
        <w:trPr>
          <w:trHeight w:val="288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20.000 - 59.999 abitanti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223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886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55,1%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917.336.945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304.761.805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33,2%</w:t>
            </w:r>
          </w:p>
        </w:tc>
      </w:tr>
      <w:tr w:rsidR="00BA22AD" w:rsidRPr="00BA22AD" w:rsidTr="00EA1BC6">
        <w:trPr>
          <w:trHeight w:val="288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60.000 - 249.999 abitanti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63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490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70,8%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730.469.762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200.336.145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27,4%</w:t>
            </w:r>
          </w:p>
        </w:tc>
      </w:tr>
      <w:tr w:rsidR="00BA22AD" w:rsidRPr="00BA22AD" w:rsidTr="00EA1BC6">
        <w:trPr>
          <w:trHeight w:val="288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&gt;= 250.000 abitanti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9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126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75,0%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1.684.100.368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596.020.425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35,4%</w:t>
            </w:r>
          </w:p>
        </w:tc>
      </w:tr>
      <w:tr w:rsidR="00BA22AD" w:rsidRPr="00BA22AD" w:rsidTr="00EA1BC6">
        <w:trPr>
          <w:trHeight w:val="288"/>
        </w:trPr>
        <w:tc>
          <w:tcPr>
            <w:tcW w:w="9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Totale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2.603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6.421</w:t>
            </w:r>
          </w:p>
        </w:tc>
        <w:tc>
          <w:tcPr>
            <w:tcW w:w="5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32,2%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5.312.701.722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1.936.932.611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it-IT"/>
              </w:rPr>
              <w:t>36,5%</w:t>
            </w:r>
          </w:p>
        </w:tc>
      </w:tr>
      <w:tr w:rsidR="00BA22AD" w:rsidRPr="00BA22AD" w:rsidTr="00EA1BC6">
        <w:trPr>
          <w:trHeight w:val="300"/>
        </w:trPr>
        <w:tc>
          <w:tcPr>
            <w:tcW w:w="500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A22AD" w:rsidRPr="00BA22AD" w:rsidRDefault="00BA22AD" w:rsidP="00BA22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</w:pPr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Fonte: elaborazione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Centro Documentazione e Studi Anci-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Ifel</w:t>
            </w:r>
            <w:proofErr w:type="spellEnd"/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su dati </w:t>
            </w:r>
            <w:proofErr w:type="spellStart"/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>OpenCoesione</w:t>
            </w:r>
            <w:proofErr w:type="spellEnd"/>
            <w:r w:rsidRPr="00BA22A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it-IT"/>
              </w:rPr>
              <w:t xml:space="preserve"> aggiornati al 31.12.2012</w:t>
            </w:r>
          </w:p>
        </w:tc>
      </w:tr>
    </w:tbl>
    <w:p w:rsidR="00617678" w:rsidRDefault="00617678"/>
    <w:p w:rsidR="00884D28" w:rsidRDefault="00884D28" w:rsidP="00884D28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it-IT"/>
        </w:rPr>
      </w:pPr>
      <w:r>
        <w:rPr>
          <w:rFonts w:ascii="Calibri" w:eastAsia="Times New Roman" w:hAnsi="Calibri" w:cs="Times New Roman"/>
          <w:b/>
          <w:bCs/>
          <w:color w:val="000000"/>
          <w:lang w:eastAsia="it-IT"/>
        </w:rPr>
        <w:t>Figura 1</w:t>
      </w:r>
      <w:r w:rsidRPr="00E100F6">
        <w:rPr>
          <w:rFonts w:ascii="Calibri" w:eastAsia="Times New Roman" w:hAnsi="Calibri" w:cs="Times New Roman"/>
          <w:b/>
          <w:bCs/>
          <w:color w:val="000000"/>
          <w:lang w:eastAsia="it-IT"/>
        </w:rPr>
        <w:t xml:space="preserve"> I comuni soggetti attuatori dell'Obiettivo Competitività Regionale e Occupazione e dell'Obiettivo Convergenza, POR FESR 2007-2013</w:t>
      </w:r>
    </w:p>
    <w:p w:rsidR="00884D28" w:rsidRPr="00A41350" w:rsidRDefault="00884D28" w:rsidP="00884D28">
      <w:pPr>
        <w:spacing w:after="0" w:line="240" w:lineRule="auto"/>
        <w:rPr>
          <w:rFonts w:ascii="Calibri" w:eastAsia="Times New Roman" w:hAnsi="Calibri" w:cs="Times New Roman"/>
          <w:b/>
          <w:bCs/>
          <w:color w:val="FF0000"/>
          <w:lang w:eastAsia="it-IT"/>
        </w:rPr>
      </w:pPr>
    </w:p>
    <w:p w:rsidR="00884D28" w:rsidRDefault="00884D28" w:rsidP="00884D28">
      <w:r>
        <w:rPr>
          <w:noProof/>
          <w:lang w:eastAsia="it-IT"/>
        </w:rPr>
        <w:drawing>
          <wp:inline distT="0" distB="0" distL="0" distR="0" wp14:anchorId="2836EF6E" wp14:editId="5E8C21D5">
            <wp:extent cx="4069080" cy="3939540"/>
            <wp:effectExtent l="0" t="0" r="7620" b="3810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9080" cy="393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4D28" w:rsidRPr="00E100F6" w:rsidRDefault="00884D28" w:rsidP="00884D28">
      <w:pPr>
        <w:spacing w:after="0" w:line="240" w:lineRule="auto"/>
        <w:rPr>
          <w:rFonts w:ascii="Calibri" w:eastAsia="Times New Roman" w:hAnsi="Calibri" w:cs="Times New Roman"/>
          <w:color w:val="000000"/>
          <w:lang w:eastAsia="it-IT"/>
        </w:rPr>
      </w:pPr>
      <w:r w:rsidRPr="00E100F6">
        <w:rPr>
          <w:rFonts w:ascii="Calibri" w:eastAsia="Times New Roman" w:hAnsi="Calibri" w:cs="Times New Roman"/>
          <w:color w:val="000000"/>
          <w:lang w:eastAsia="it-IT"/>
        </w:rPr>
        <w:t xml:space="preserve">Fonte: elaborazione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Centro Documentazione e Studi Anci-</w:t>
      </w:r>
      <w:proofErr w:type="spellStart"/>
      <w:r>
        <w:rPr>
          <w:rFonts w:ascii="Calibri" w:eastAsia="Times New Roman" w:hAnsi="Calibri" w:cs="Times New Roman"/>
          <w:color w:val="000000"/>
          <w:sz w:val="20"/>
          <w:szCs w:val="20"/>
          <w:lang w:eastAsia="it-IT"/>
        </w:rPr>
        <w:t>Ifel</w:t>
      </w:r>
      <w:proofErr w:type="spellEnd"/>
      <w:r w:rsidRPr="00E100F6">
        <w:rPr>
          <w:rFonts w:ascii="Calibri" w:eastAsia="Times New Roman" w:hAnsi="Calibri" w:cs="Times New Roman"/>
          <w:color w:val="000000"/>
          <w:lang w:eastAsia="it-IT"/>
        </w:rPr>
        <w:t xml:space="preserve"> su dati </w:t>
      </w:r>
      <w:proofErr w:type="spellStart"/>
      <w:r w:rsidRPr="00E100F6">
        <w:rPr>
          <w:rFonts w:ascii="Calibri" w:eastAsia="Times New Roman" w:hAnsi="Calibri" w:cs="Times New Roman"/>
          <w:color w:val="000000"/>
          <w:lang w:eastAsia="it-IT"/>
        </w:rPr>
        <w:t>OpenCoesione</w:t>
      </w:r>
      <w:proofErr w:type="spellEnd"/>
      <w:r w:rsidRPr="00E100F6">
        <w:rPr>
          <w:rFonts w:ascii="Calibri" w:eastAsia="Times New Roman" w:hAnsi="Calibri" w:cs="Times New Roman"/>
          <w:color w:val="000000"/>
          <w:lang w:eastAsia="it-IT"/>
        </w:rPr>
        <w:t xml:space="preserve"> aggiornati al 31.12.2012</w:t>
      </w:r>
    </w:p>
    <w:p w:rsidR="00884D28" w:rsidRDefault="00884D28"/>
    <w:sectPr w:rsidR="00884D2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2AD"/>
    <w:rsid w:val="001C5221"/>
    <w:rsid w:val="006172B9"/>
    <w:rsid w:val="00617678"/>
    <w:rsid w:val="00884D28"/>
    <w:rsid w:val="0088620A"/>
    <w:rsid w:val="00B77D60"/>
    <w:rsid w:val="00BA22AD"/>
    <w:rsid w:val="00E7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D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84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84D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478</Words>
  <Characters>2729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Carla Giorgio</dc:creator>
  <cp:lastModifiedBy>Alessio Ditta</cp:lastModifiedBy>
  <cp:revision>2</cp:revision>
  <dcterms:created xsi:type="dcterms:W3CDTF">2013-12-09T16:02:00Z</dcterms:created>
  <dcterms:modified xsi:type="dcterms:W3CDTF">2013-12-09T16:02:00Z</dcterms:modified>
</cp:coreProperties>
</file>