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C1E4E" w14:textId="38BB376E" w:rsidR="002D33A9" w:rsidRPr="00E7645E" w:rsidRDefault="002D33A9" w:rsidP="002D33A9">
      <w:pPr>
        <w:spacing w:after="40" w:line="276" w:lineRule="auto"/>
        <w:ind w:firstLine="397"/>
        <w:jc w:val="center"/>
        <w:rPr>
          <w:rFonts w:ascii="Bookman Old Style" w:hAnsi="Bookman Old Style"/>
          <w:b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spacing w:val="4"/>
          <w:sz w:val="22"/>
          <w:szCs w:val="22"/>
        </w:rPr>
        <w:t>SCHEMA DI DELIBERA CONSILIARE</w:t>
      </w:r>
    </w:p>
    <w:p w14:paraId="3330FBEF" w14:textId="77777777" w:rsidR="002D33A9" w:rsidRPr="00E7645E" w:rsidRDefault="002D33A9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</w:p>
    <w:p w14:paraId="05B3D5F2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</w:p>
    <w:p w14:paraId="5F2364AD" w14:textId="774201EC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  <w:r w:rsidRPr="00E7645E">
        <w:rPr>
          <w:rFonts w:ascii="Bookman Old Style" w:hAnsi="Bookman Old Style" w:cs="Arial"/>
          <w:sz w:val="22"/>
          <w:szCs w:val="22"/>
        </w:rPr>
        <w:t xml:space="preserve">COMUNE DI </w:t>
      </w:r>
      <w:r w:rsidR="009167FA" w:rsidRPr="00E7645E">
        <w:rPr>
          <w:rFonts w:ascii="Bookman Old Style" w:hAnsi="Bookman Old Style" w:cs="Arial"/>
          <w:sz w:val="22"/>
          <w:szCs w:val="22"/>
        </w:rPr>
        <w:t>…………….</w:t>
      </w:r>
    </w:p>
    <w:p w14:paraId="6BDA30CA" w14:textId="1DE5A19C" w:rsidR="00D23A72" w:rsidRPr="00E7645E" w:rsidRDefault="00D23A72" w:rsidP="00D23A72">
      <w:pPr>
        <w:pBdr>
          <w:bottom w:val="single" w:sz="12" w:space="1" w:color="auto"/>
          <w:between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  <w:r w:rsidRPr="00E7645E">
        <w:rPr>
          <w:rFonts w:ascii="Bookman Old Style" w:hAnsi="Bookman Old Style" w:cs="Arial"/>
          <w:sz w:val="22"/>
          <w:szCs w:val="22"/>
        </w:rPr>
        <w:t xml:space="preserve">(Provincia di </w:t>
      </w:r>
      <w:r w:rsidR="009167FA" w:rsidRPr="00E7645E">
        <w:rPr>
          <w:rFonts w:ascii="Bookman Old Style" w:hAnsi="Bookman Old Style" w:cs="Arial"/>
          <w:sz w:val="22"/>
          <w:szCs w:val="22"/>
        </w:rPr>
        <w:t>……</w:t>
      </w:r>
      <w:r w:rsidR="005F3EED" w:rsidRPr="00E7645E">
        <w:rPr>
          <w:rFonts w:ascii="Bookman Old Style" w:hAnsi="Bookman Old Style" w:cs="Arial"/>
          <w:sz w:val="22"/>
          <w:szCs w:val="22"/>
        </w:rPr>
        <w:t>…..</w:t>
      </w:r>
      <w:r w:rsidR="009167FA" w:rsidRPr="00E7645E">
        <w:rPr>
          <w:rFonts w:ascii="Bookman Old Style" w:hAnsi="Bookman Old Style" w:cs="Arial"/>
          <w:sz w:val="22"/>
          <w:szCs w:val="22"/>
        </w:rPr>
        <w:t>.</w:t>
      </w:r>
      <w:r w:rsidRPr="00E7645E">
        <w:rPr>
          <w:rFonts w:ascii="Bookman Old Style" w:hAnsi="Bookman Old Style" w:cs="Arial"/>
          <w:sz w:val="22"/>
          <w:szCs w:val="22"/>
        </w:rPr>
        <w:t>)</w:t>
      </w:r>
      <w:r w:rsidR="00860F6E">
        <w:rPr>
          <w:rFonts w:ascii="Bookman Old Style" w:hAnsi="Bookman Old Style" w:cs="Arial"/>
          <w:sz w:val="22"/>
          <w:szCs w:val="22"/>
        </w:rPr>
        <w:br/>
      </w:r>
    </w:p>
    <w:p w14:paraId="2C8E9D76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</w:p>
    <w:p w14:paraId="624C8CB9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</w:p>
    <w:p w14:paraId="2DBF8022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</w:p>
    <w:tbl>
      <w:tblPr>
        <w:tblW w:w="0" w:type="auto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639"/>
      </w:tblGrid>
      <w:tr w:rsidR="00D23A72" w:rsidRPr="00E7645E" w14:paraId="6E0B9BA0" w14:textId="77777777" w:rsidTr="00293A67"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0873511" w14:textId="5D14F1CE" w:rsidR="00D23A72" w:rsidRPr="00E7645E" w:rsidRDefault="00D23A72" w:rsidP="0017459E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gramStart"/>
            <w:r w:rsidRPr="00E7645E">
              <w:rPr>
                <w:rFonts w:ascii="Bookman Old Style" w:hAnsi="Bookman Old Style" w:cs="Arial"/>
                <w:sz w:val="22"/>
                <w:szCs w:val="22"/>
              </w:rPr>
              <w:t>Oggetto:</w:t>
            </w:r>
            <w:r w:rsidR="0017459E">
              <w:rPr>
                <w:rFonts w:ascii="Bookman Old Style" w:hAnsi="Bookman Old Style" w:cs="Arial"/>
                <w:sz w:val="22"/>
                <w:szCs w:val="22"/>
              </w:rPr>
              <w:t xml:space="preserve">   </w:t>
            </w:r>
            <w:proofErr w:type="gramEnd"/>
            <w:r w:rsidR="0017459E">
              <w:rPr>
                <w:rFonts w:ascii="Bookman Old Style" w:hAnsi="Bookman Old Style" w:cs="Arial"/>
                <w:sz w:val="22"/>
                <w:szCs w:val="22"/>
              </w:rPr>
              <w:t xml:space="preserve">                </w:t>
            </w:r>
            <w:r w:rsidR="002D33A9" w:rsidRPr="00E7645E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Acconto </w:t>
            </w:r>
            <w:r w:rsidR="002820C5">
              <w:rPr>
                <w:rFonts w:ascii="Bookman Old Style" w:hAnsi="Bookman Old Style" w:cs="Arial"/>
                <w:b/>
                <w:sz w:val="22"/>
                <w:szCs w:val="22"/>
              </w:rPr>
              <w:t>IMU</w:t>
            </w:r>
            <w:r w:rsidR="002D33A9" w:rsidRPr="00E7645E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2020 – Determinazioni</w:t>
            </w:r>
          </w:p>
        </w:tc>
      </w:tr>
    </w:tbl>
    <w:p w14:paraId="4E5E29C8" w14:textId="77777777" w:rsidR="00D23A72" w:rsidRPr="00E7645E" w:rsidRDefault="00D23A72" w:rsidP="00D23A7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D75C3C9" w14:textId="77777777" w:rsidR="00D23A72" w:rsidRPr="00E7645E" w:rsidRDefault="00D23A72" w:rsidP="00D23A7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14:paraId="79E4BF99" w14:textId="77777777" w:rsidR="00D23A72" w:rsidRPr="00E7645E" w:rsidRDefault="00D23A72" w:rsidP="00D23A72">
      <w:pPr>
        <w:jc w:val="center"/>
        <w:rPr>
          <w:rFonts w:ascii="Bookman Old Style" w:eastAsia="Arial" w:hAnsi="Bookman Old Style"/>
          <w:b/>
          <w:sz w:val="22"/>
          <w:szCs w:val="22"/>
        </w:rPr>
      </w:pPr>
      <w:r w:rsidRPr="00E7645E">
        <w:rPr>
          <w:rFonts w:ascii="Bookman Old Style" w:eastAsia="Arial" w:hAnsi="Bookman Old Style"/>
          <w:b/>
          <w:sz w:val="22"/>
          <w:szCs w:val="22"/>
        </w:rPr>
        <w:t>IL CONSIGLIO COMUNALE</w:t>
      </w:r>
    </w:p>
    <w:p w14:paraId="579738A8" w14:textId="51A8D6FB" w:rsidR="00D23A72" w:rsidRPr="00E7645E" w:rsidRDefault="00860F6E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br/>
      </w:r>
      <w:r w:rsidR="00D23A72" w:rsidRPr="00E7645E">
        <w:rPr>
          <w:rFonts w:ascii="Bookman Old Style" w:hAnsi="Bookman Old Style" w:cs="Arial"/>
          <w:i/>
          <w:sz w:val="22"/>
          <w:szCs w:val="22"/>
        </w:rPr>
        <w:t>Su proposta della Giunta Comunale.</w:t>
      </w:r>
    </w:p>
    <w:p w14:paraId="5F656A68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i/>
          <w:sz w:val="22"/>
          <w:szCs w:val="22"/>
        </w:rPr>
      </w:pPr>
    </w:p>
    <w:p w14:paraId="50B00EC4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i/>
          <w:sz w:val="22"/>
          <w:szCs w:val="22"/>
        </w:rPr>
      </w:pPr>
      <w:r w:rsidRPr="00E7645E">
        <w:rPr>
          <w:rFonts w:ascii="Bookman Old Style" w:hAnsi="Bookman Old Style" w:cs="Arial"/>
          <w:i/>
          <w:sz w:val="22"/>
          <w:szCs w:val="22"/>
        </w:rPr>
        <w:t>Preso atto della relazione illustrativa dell’Assessore.</w:t>
      </w:r>
    </w:p>
    <w:p w14:paraId="0D336021" w14:textId="77777777" w:rsidR="00D23A72" w:rsidRPr="00E7645E" w:rsidRDefault="00D23A72" w:rsidP="00D2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06FB8D2F" w14:textId="77777777" w:rsidR="00567B8D" w:rsidRPr="00E7645E" w:rsidRDefault="00567B8D" w:rsidP="00567B8D">
      <w:pPr>
        <w:spacing w:after="40" w:line="276" w:lineRule="auto"/>
        <w:ind w:firstLine="397"/>
        <w:jc w:val="both"/>
        <w:rPr>
          <w:rFonts w:ascii="Bookman Old Style" w:hAnsi="Bookman Old Style"/>
          <w:b/>
          <w:spacing w:val="4"/>
          <w:sz w:val="22"/>
          <w:szCs w:val="22"/>
        </w:rPr>
      </w:pPr>
    </w:p>
    <w:p w14:paraId="7B640A94" w14:textId="77777777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b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spacing w:val="4"/>
          <w:sz w:val="22"/>
          <w:szCs w:val="22"/>
        </w:rPr>
        <w:t xml:space="preserve">Premesso che: </w:t>
      </w:r>
    </w:p>
    <w:p w14:paraId="007E88F2" w14:textId="77777777" w:rsidR="00C3267D" w:rsidRPr="00E7645E" w:rsidRDefault="00C3267D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 con D.P.C.M del 31 gennaio 2020 (in G.U. n. 26 del 1° febbraio 2020) è stato dichiarato per sei mesi, e quindi fino al 31 luglio 2020, lo stato di emergenza in conseguenza del rischio sanitario connesso all’insorgenza di patologie derivanti dalla pandemia COVID-19;</w:t>
      </w:r>
    </w:p>
    <w:p w14:paraId="4D1E5DE6" w14:textId="6C67A850" w:rsidR="00C3267D" w:rsidRPr="00E7645E" w:rsidRDefault="00C3267D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 con diversi provvedimenti 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 xml:space="preserve">governativi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è stata disposta la chiusura forzata di 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>molte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attività economiche;</w:t>
      </w:r>
    </w:p>
    <w:p w14:paraId="22EFC213" w14:textId="248B1DBD" w:rsidR="00C3267D" w:rsidRDefault="00C3267D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 xml:space="preserve">diverse </w:t>
      </w:r>
      <w:r w:rsidRPr="00E7645E">
        <w:rPr>
          <w:rFonts w:ascii="Bookman Old Style" w:hAnsi="Bookman Old Style"/>
          <w:spacing w:val="4"/>
          <w:sz w:val="22"/>
          <w:szCs w:val="22"/>
        </w:rPr>
        <w:t>attività economiche, pur non obbligate alla chiusura, hanno deciso, anche per l’impossibilità oggettiva o temporanea di garantire le misure minime di sicurezza, la sospensione della propria attività</w:t>
      </w:r>
      <w:r w:rsidR="007544D5">
        <w:rPr>
          <w:rFonts w:ascii="Bookman Old Style" w:hAnsi="Bookman Old Style"/>
          <w:spacing w:val="4"/>
          <w:sz w:val="22"/>
          <w:szCs w:val="22"/>
        </w:rPr>
        <w:t>;</w:t>
      </w:r>
    </w:p>
    <w:p w14:paraId="0800A565" w14:textId="59A26DD8" w:rsidR="007544D5" w:rsidRPr="00860F6E" w:rsidRDefault="007544D5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>
        <w:rPr>
          <w:rFonts w:ascii="Bookman Old Style" w:hAnsi="Bookman Old Style"/>
          <w:spacing w:val="4"/>
          <w:sz w:val="22"/>
          <w:szCs w:val="22"/>
        </w:rPr>
        <w:t xml:space="preserve">  </w:t>
      </w:r>
      <w:r w:rsidRPr="00860F6E">
        <w:rPr>
          <w:rFonts w:ascii="Bookman Old Style" w:hAnsi="Bookman Old Style"/>
          <w:spacing w:val="4"/>
          <w:sz w:val="22"/>
          <w:szCs w:val="22"/>
        </w:rPr>
        <w:t>la grave crisi economica dovuta all’emergenza da COVID-19 ha determinato in molti contribuenti la difficoltà di adempiere al pagamento della prima rata dell’IMU entro i termini previsti dalla legge.</w:t>
      </w:r>
    </w:p>
    <w:p w14:paraId="6D3086D7" w14:textId="53546837" w:rsidR="00C3267D" w:rsidRPr="00E7645E" w:rsidRDefault="00C3267D" w:rsidP="0017459E">
      <w:pPr>
        <w:spacing w:after="40" w:line="276" w:lineRule="auto"/>
        <w:ind w:left="397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682EE2AA" w14:textId="7C85F6B6" w:rsidR="001324AE" w:rsidRPr="0017459E" w:rsidRDefault="001324AE" w:rsidP="0017459E">
      <w:pPr>
        <w:spacing w:after="40" w:line="276" w:lineRule="auto"/>
        <w:jc w:val="both"/>
        <w:rPr>
          <w:rFonts w:ascii="Bookman Old Style" w:hAnsi="Bookman Old Style"/>
          <w:b/>
          <w:spacing w:val="4"/>
          <w:sz w:val="22"/>
          <w:szCs w:val="22"/>
        </w:rPr>
      </w:pPr>
      <w:r w:rsidRPr="0017459E">
        <w:rPr>
          <w:rFonts w:ascii="Bookman Old Style" w:hAnsi="Bookman Old Style"/>
          <w:b/>
          <w:spacing w:val="4"/>
          <w:sz w:val="22"/>
          <w:szCs w:val="22"/>
        </w:rPr>
        <w:t>Considerato che:</w:t>
      </w:r>
    </w:p>
    <w:p w14:paraId="7F093F57" w14:textId="3126805F" w:rsidR="001324AE" w:rsidRPr="00E7645E" w:rsidRDefault="001324AE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l’art. 1, comma 762, della legge n. 160 del 2019, dispone che «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>in deroga all'</w:t>
      </w:r>
      <w:hyperlink r:id="rId10" w:history="1">
        <w:r w:rsidRPr="00E7645E">
          <w:rPr>
            <w:rFonts w:ascii="Bookman Old Style" w:hAnsi="Bookman Old Style"/>
            <w:i/>
            <w:iCs/>
            <w:spacing w:val="4"/>
            <w:sz w:val="22"/>
            <w:szCs w:val="22"/>
          </w:rPr>
          <w:t>articolo 52 del decreto legislativo n. 446 del 1997</w:t>
        </w:r>
      </w:hyperlink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>, i soggetti passivi effettuano il versamento dell'imposta dovuta al comune per l'anno in corso in due rate, scadenti la prima il 16 giugno e la seconda il 16 dicembre</w:t>
      </w:r>
      <w:r w:rsidRPr="00E7645E">
        <w:rPr>
          <w:rFonts w:ascii="Bookman Old Style" w:hAnsi="Bookman Old Style"/>
          <w:spacing w:val="4"/>
          <w:sz w:val="22"/>
          <w:szCs w:val="22"/>
        </w:rPr>
        <w:t>»</w:t>
      </w:r>
      <w:r w:rsidR="00297DAF" w:rsidRPr="00E7645E">
        <w:rPr>
          <w:rFonts w:ascii="Bookman Old Style" w:hAnsi="Bookman Old Style"/>
          <w:spacing w:val="4"/>
          <w:sz w:val="22"/>
          <w:szCs w:val="22"/>
        </w:rPr>
        <w:t>;</w:t>
      </w:r>
    </w:p>
    <w:p w14:paraId="49206DA3" w14:textId="51DC2DD6" w:rsidR="001324AE" w:rsidRPr="00E7645E" w:rsidRDefault="001324AE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il citato comma 762 dispone altresì che «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 xml:space="preserve">in sede di prima applicazione dell'imposta, la prima rata da corrispondere è pari alla metà di quanto versato a titolo di </w:t>
      </w:r>
      <w:r w:rsidR="002820C5">
        <w:rPr>
          <w:rFonts w:ascii="Bookman Old Style" w:hAnsi="Bookman Old Style"/>
          <w:i/>
          <w:iCs/>
          <w:spacing w:val="4"/>
          <w:sz w:val="22"/>
          <w:szCs w:val="22"/>
        </w:rPr>
        <w:t>IMU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 xml:space="preserve"> e TASI per l'anno 2019. Il versamento della rata a saldo dell'imposta dovuta per l'intero anno è eseguito, a conguaglio, sulla base delle aliquote</w:t>
      </w:r>
      <w:r w:rsidRPr="00E7645E">
        <w:rPr>
          <w:rFonts w:ascii="Bookman Old Style" w:hAnsi="Bookman Old Style"/>
          <w:spacing w:val="4"/>
          <w:sz w:val="22"/>
          <w:szCs w:val="22"/>
        </w:rPr>
        <w:t>» deliberate per il 2020 dal Comune;</w:t>
      </w:r>
    </w:p>
    <w:p w14:paraId="792ABC6E" w14:textId="69C64182" w:rsidR="001324AE" w:rsidRPr="00E7645E" w:rsidRDefault="001324AE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l’art. 1, comma 777, lett. b), della legge n. 160 del 2019, prevede che i Comuni poss</w:t>
      </w:r>
      <w:r w:rsidR="00297DAF" w:rsidRPr="00E7645E">
        <w:rPr>
          <w:rFonts w:ascii="Bookman Old Style" w:hAnsi="Bookman Old Style"/>
          <w:spacing w:val="4"/>
          <w:sz w:val="22"/>
          <w:szCs w:val="22"/>
        </w:rPr>
        <w:t>a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no con proprio regolamento </w:t>
      </w:r>
      <w:r w:rsidR="00E33F43" w:rsidRPr="00E7645E">
        <w:rPr>
          <w:rFonts w:ascii="Bookman Old Style" w:hAnsi="Bookman Old Style"/>
          <w:spacing w:val="4"/>
          <w:sz w:val="22"/>
          <w:szCs w:val="22"/>
        </w:rPr>
        <w:t>«</w:t>
      </w:r>
      <w:r w:rsidR="00E33F43" w:rsidRPr="00E7645E">
        <w:rPr>
          <w:rFonts w:ascii="Bookman Old Style" w:hAnsi="Bookman Old Style"/>
          <w:i/>
          <w:iCs/>
          <w:spacing w:val="4"/>
          <w:sz w:val="22"/>
          <w:szCs w:val="22"/>
        </w:rPr>
        <w:t>stabilire differimenti di termini per i versamenti, per situazioni particolari</w:t>
      </w:r>
      <w:r w:rsidR="00E33F43" w:rsidRPr="00E7645E">
        <w:rPr>
          <w:rFonts w:ascii="Bookman Old Style" w:hAnsi="Bookman Old Style"/>
          <w:spacing w:val="4"/>
          <w:sz w:val="22"/>
          <w:szCs w:val="22"/>
        </w:rPr>
        <w:t>»;</w:t>
      </w:r>
    </w:p>
    <w:p w14:paraId="5685FEBB" w14:textId="1E7234CE" w:rsidR="00E33F43" w:rsidRPr="00E7645E" w:rsidRDefault="00E33F43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lastRenderedPageBreak/>
        <w:t>l’art. 1, comma 775, della legge n. 160 del 2019, dispone che «</w:t>
      </w:r>
      <w:r w:rsidR="002820C5">
        <w:rPr>
          <w:rFonts w:ascii="Bookman Old Style" w:hAnsi="Bookman Old Style"/>
          <w:i/>
          <w:iCs/>
          <w:spacing w:val="4"/>
          <w:sz w:val="22"/>
          <w:szCs w:val="22"/>
        </w:rPr>
        <w:t>R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>esta salva la facoltà del comune di deliberare con il regolamento circostanze attenuanti o esimenti nel rispetto dei princìpi stabiliti dalla normativa statale</w:t>
      </w:r>
      <w:r w:rsidRPr="00E7645E">
        <w:rPr>
          <w:rFonts w:ascii="Bookman Old Style" w:hAnsi="Bookman Old Style"/>
          <w:spacing w:val="4"/>
          <w:sz w:val="22"/>
          <w:szCs w:val="22"/>
        </w:rPr>
        <w:t>»</w:t>
      </w:r>
      <w:r w:rsidR="00425AD8" w:rsidRPr="00E7645E">
        <w:rPr>
          <w:rFonts w:ascii="Bookman Old Style" w:hAnsi="Bookman Old Style"/>
          <w:spacing w:val="4"/>
          <w:sz w:val="22"/>
          <w:szCs w:val="22"/>
        </w:rPr>
        <w:t>;</w:t>
      </w:r>
    </w:p>
    <w:p w14:paraId="0D3C7C3C" w14:textId="75CC1102" w:rsidR="00425AD8" w:rsidRPr="00E7645E" w:rsidRDefault="00425AD8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l’art. 52, del d.lgs. n. 44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>6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del 1997, disciplina la potestà regolamentare del Comune, ponendo vincoli espressi solo in materia di soggetti passivi, oggetti imponibili ed aliquote massime, prevedendo altresì che «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>per quanto non regolamentato si applicano le disposizioni di legge vigenti</w:t>
      </w:r>
      <w:r w:rsidRPr="00E7645E">
        <w:rPr>
          <w:rFonts w:ascii="Bookman Old Style" w:hAnsi="Bookman Old Style"/>
          <w:spacing w:val="4"/>
          <w:sz w:val="22"/>
          <w:szCs w:val="22"/>
        </w:rPr>
        <w:t>»;</w:t>
      </w:r>
    </w:p>
    <w:p w14:paraId="03740D30" w14:textId="749FC264" w:rsidR="00425AD8" w:rsidRPr="00E7645E" w:rsidRDefault="00425AD8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l’art. 107, comma 2, del </w:t>
      </w:r>
      <w:proofErr w:type="spellStart"/>
      <w:r w:rsidR="00177138" w:rsidRPr="00E7645E">
        <w:rPr>
          <w:rFonts w:ascii="Bookman Old Style" w:hAnsi="Bookman Old Style"/>
          <w:spacing w:val="4"/>
          <w:sz w:val="22"/>
          <w:szCs w:val="22"/>
        </w:rPr>
        <w:t>d.l.</w:t>
      </w:r>
      <w:proofErr w:type="spellEnd"/>
      <w:r w:rsidR="00177138" w:rsidRPr="00E7645E">
        <w:rPr>
          <w:rFonts w:ascii="Bookman Old Style" w:hAnsi="Bookman Old Style"/>
          <w:spacing w:val="4"/>
          <w:sz w:val="22"/>
          <w:szCs w:val="22"/>
        </w:rPr>
        <w:t xml:space="preserve"> n. 18 del 2020, </w:t>
      </w:r>
      <w:r w:rsidR="002820C5" w:rsidRPr="00860F6E">
        <w:rPr>
          <w:rFonts w:ascii="Bookman Old Style" w:hAnsi="Bookman Old Style"/>
          <w:spacing w:val="4"/>
          <w:sz w:val="22"/>
          <w:szCs w:val="22"/>
        </w:rPr>
        <w:t>convertito nella legge n.27 del 2020</w:t>
      </w:r>
      <w:r w:rsidR="002820C5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>ha differito il termine di approvazione del bilancio di previsione al 31 luglio 2020;</w:t>
      </w:r>
    </w:p>
    <w:p w14:paraId="0C093713" w14:textId="1017E7F4" w:rsidR="00177138" w:rsidRPr="00E7645E" w:rsidRDefault="00177138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l’art. 138, del </w:t>
      </w:r>
      <w:proofErr w:type="spellStart"/>
      <w:r w:rsidRPr="00E7645E">
        <w:rPr>
          <w:rFonts w:ascii="Bookman Old Style" w:hAnsi="Bookman Old Style"/>
          <w:spacing w:val="4"/>
          <w:sz w:val="22"/>
          <w:szCs w:val="22"/>
        </w:rPr>
        <w:t>d.l.</w:t>
      </w:r>
      <w:proofErr w:type="spellEnd"/>
      <w:r w:rsidRPr="00E7645E">
        <w:rPr>
          <w:rFonts w:ascii="Bookman Old Style" w:hAnsi="Bookman Old Style"/>
          <w:spacing w:val="4"/>
          <w:sz w:val="22"/>
          <w:szCs w:val="22"/>
        </w:rPr>
        <w:t xml:space="preserve"> n. 34 del </w:t>
      </w:r>
      <w:r w:rsidR="005776E5" w:rsidRPr="00E7645E">
        <w:rPr>
          <w:rFonts w:ascii="Bookman Old Style" w:hAnsi="Bookman Old Style"/>
          <w:spacing w:val="4"/>
          <w:sz w:val="22"/>
          <w:szCs w:val="22"/>
        </w:rPr>
        <w:t>2020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, ha abrogato l’art. 1, comma 779, della legge n. 160 del 2019, norma che prevedeva l’approvazione delle aliquote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e del regolamento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entro il 30 giugno 2020, sicché si rende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 xml:space="preserve"> ora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applicabile il regime di approvazione ordinaria, di cui al punto seguente:</w:t>
      </w:r>
    </w:p>
    <w:p w14:paraId="2F8AD765" w14:textId="5D742387" w:rsidR="00177138" w:rsidRPr="00E7645E" w:rsidRDefault="00177138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l’art. 53, comma 16, della legge n. 388 del 2000, dispone che il termine «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>per approvare i regolamenti relativi alle entrate degli enti locali, è stabilito entro la data fissata da norme statali per la deliberazione del bilancio di previsione</w:t>
      </w:r>
      <w:r w:rsidRPr="00E7645E">
        <w:rPr>
          <w:rFonts w:ascii="Bookman Old Style" w:hAnsi="Bookman Old Style"/>
          <w:spacing w:val="4"/>
          <w:sz w:val="22"/>
          <w:szCs w:val="22"/>
        </w:rPr>
        <w:t>» e che «</w:t>
      </w:r>
      <w:r w:rsidRPr="00E7645E">
        <w:rPr>
          <w:rFonts w:ascii="Bookman Old Style" w:hAnsi="Bookman Old Style"/>
          <w:i/>
          <w:iCs/>
          <w:spacing w:val="4"/>
          <w:sz w:val="22"/>
          <w:szCs w:val="22"/>
        </w:rPr>
        <w:t>i regolamenti sulle entrate, anche se approvati successivamente all'inizio dell'esercizio purché entro il termine di cui sopra, hanno effetto dal 1° gennaio dell'anno di riferimento</w:t>
      </w:r>
      <w:r w:rsidRPr="00E7645E">
        <w:rPr>
          <w:rFonts w:ascii="Bookman Old Style" w:hAnsi="Bookman Old Style"/>
          <w:spacing w:val="4"/>
          <w:sz w:val="22"/>
          <w:szCs w:val="22"/>
        </w:rPr>
        <w:t>».</w:t>
      </w:r>
    </w:p>
    <w:p w14:paraId="236F5F72" w14:textId="77777777" w:rsidR="00177138" w:rsidRPr="00E7645E" w:rsidRDefault="00177138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5568FA56" w14:textId="1CF7FA3E" w:rsidR="00E33F43" w:rsidRPr="00E7645E" w:rsidRDefault="00E33F43" w:rsidP="0017459E">
      <w:pPr>
        <w:spacing w:after="40" w:line="276" w:lineRule="auto"/>
        <w:jc w:val="both"/>
        <w:rPr>
          <w:rFonts w:ascii="Bookman Old Style" w:hAnsi="Bookman Old Style"/>
          <w:b/>
          <w:bCs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bCs/>
          <w:spacing w:val="4"/>
          <w:sz w:val="22"/>
          <w:szCs w:val="22"/>
        </w:rPr>
        <w:t>Ritenuto che:</w:t>
      </w:r>
    </w:p>
    <w:p w14:paraId="17193FEB" w14:textId="1A69818C" w:rsidR="00E33F43" w:rsidRPr="00E7645E" w:rsidRDefault="00E33F43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il Comune possa, ai sensi dell’art. 1, comma 775, della legge n. 160 del 2019, prevedere la non</w:t>
      </w:r>
      <w:r w:rsidR="005F3EED"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5776E5" w:rsidRPr="00E7645E">
        <w:rPr>
          <w:rFonts w:ascii="Bookman Old Style" w:hAnsi="Bookman Old Style"/>
          <w:spacing w:val="4"/>
          <w:sz w:val="22"/>
          <w:szCs w:val="22"/>
        </w:rPr>
        <w:t xml:space="preserve">applicazione </w:t>
      </w:r>
      <w:r w:rsidRPr="00E7645E">
        <w:rPr>
          <w:rFonts w:ascii="Bookman Old Style" w:hAnsi="Bookman Old Style"/>
          <w:spacing w:val="4"/>
          <w:sz w:val="22"/>
          <w:szCs w:val="22"/>
        </w:rPr>
        <w:t>di sanzioni ed interessi in caso di versamenti effettuati entro una certa data, individuata dalla delibera consigliare, avente natura regolamentare;</w:t>
      </w:r>
    </w:p>
    <w:p w14:paraId="5F78140E" w14:textId="6C530F98" w:rsidR="00425AD8" w:rsidRPr="00E7645E" w:rsidRDefault="00E33F43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in ragione della grave crisi economica determinata dalla pandemia COVID-19, sia opportuno salvaguardare il tessuto economico del territorio comunale, prevedendo la possibilità di corrispondere la prima rata dell’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relativa al 2020 entro il 30 settembre 2020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 xml:space="preserve"> (</w:t>
      </w:r>
      <w:r w:rsidR="009167FA" w:rsidRPr="00E7645E">
        <w:rPr>
          <w:rFonts w:ascii="Bookman Old Style" w:hAnsi="Bookman Old Style"/>
          <w:i/>
          <w:color w:val="FF0000"/>
          <w:spacing w:val="4"/>
          <w:sz w:val="22"/>
          <w:szCs w:val="22"/>
        </w:rPr>
        <w:t>o altra data individuata dal Comune</w:t>
      </w:r>
      <w:r w:rsidR="009167FA" w:rsidRPr="00E7645E">
        <w:rPr>
          <w:rFonts w:ascii="Bookman Old Style" w:hAnsi="Bookman Old Style"/>
          <w:color w:val="FF0000"/>
          <w:spacing w:val="4"/>
          <w:sz w:val="22"/>
          <w:szCs w:val="22"/>
        </w:rPr>
        <w:t>)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, senza applicazioni di sanzioni ed interessi, 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 xml:space="preserve">limitatamente ai </w:t>
      </w:r>
      <w:r w:rsidRPr="00E7645E">
        <w:rPr>
          <w:rFonts w:ascii="Bookman Old Style" w:hAnsi="Bookman Old Style"/>
          <w:spacing w:val="4"/>
          <w:sz w:val="22"/>
          <w:szCs w:val="22"/>
        </w:rPr>
        <w:t>contribuenti che hanno registrato difficoltà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 xml:space="preserve"> economiche</w:t>
      </w:r>
      <w:r w:rsidRPr="00E7645E">
        <w:rPr>
          <w:rFonts w:ascii="Bookman Old Style" w:hAnsi="Bookman Old Style"/>
          <w:spacing w:val="4"/>
          <w:sz w:val="22"/>
          <w:szCs w:val="22"/>
        </w:rPr>
        <w:t>, da a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>ttestarsi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 xml:space="preserve"> a pena di decadenza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entro il </w:t>
      </w:r>
      <w:r w:rsidR="005776E5" w:rsidRPr="00E7645E">
        <w:rPr>
          <w:rFonts w:ascii="Bookman Old Style" w:hAnsi="Bookman Old Style"/>
          <w:spacing w:val="4"/>
          <w:sz w:val="22"/>
          <w:szCs w:val="22"/>
        </w:rPr>
        <w:t xml:space="preserve">31 </w:t>
      </w:r>
      <w:r w:rsidRPr="00E7645E">
        <w:rPr>
          <w:rFonts w:ascii="Bookman Old Style" w:hAnsi="Bookman Old Style"/>
          <w:spacing w:val="4"/>
          <w:sz w:val="22"/>
          <w:szCs w:val="22"/>
        </w:rPr>
        <w:t>o</w:t>
      </w:r>
      <w:r w:rsidR="00425AD8" w:rsidRPr="00E7645E">
        <w:rPr>
          <w:rFonts w:ascii="Bookman Old Style" w:hAnsi="Bookman Old Style"/>
          <w:spacing w:val="4"/>
          <w:sz w:val="22"/>
          <w:szCs w:val="22"/>
        </w:rPr>
        <w:t>ttobre 2020, su modello predisposto dal Comune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>;</w:t>
      </w:r>
    </w:p>
    <w:p w14:paraId="18805131" w14:textId="2FF17243" w:rsidR="00425AD8" w:rsidRPr="00E7645E" w:rsidRDefault="00425AD8" w:rsidP="0017459E">
      <w:pPr>
        <w:numPr>
          <w:ilvl w:val="0"/>
          <w:numId w:val="1"/>
        </w:numPr>
        <w:spacing w:after="40" w:line="276" w:lineRule="auto"/>
        <w:ind w:left="0" w:firstLine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la presente deliberazione, in forza delle norme sopra richiamate, ha natura regolamentare e pertanto </w:t>
      </w:r>
      <w:r w:rsidR="005776E5" w:rsidRPr="00E7645E">
        <w:rPr>
          <w:rFonts w:ascii="Bookman Old Style" w:hAnsi="Bookman Old Style"/>
          <w:spacing w:val="4"/>
          <w:sz w:val="22"/>
          <w:szCs w:val="22"/>
        </w:rPr>
        <w:t xml:space="preserve">necessita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del parere </w:t>
      </w:r>
      <w:r w:rsidR="005776E5" w:rsidRPr="00E7645E">
        <w:rPr>
          <w:rFonts w:ascii="Bookman Old Style" w:hAnsi="Bookman Old Style"/>
          <w:spacing w:val="4"/>
          <w:sz w:val="22"/>
          <w:szCs w:val="22"/>
        </w:rPr>
        <w:t>dell’Organo di revisione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, per quanto disposto dall’art. 239, comma 1, lett. b), punto 7, del 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>d</w:t>
      </w:r>
      <w:r w:rsidRPr="00E7645E">
        <w:rPr>
          <w:rFonts w:ascii="Bookman Old Style" w:hAnsi="Bookman Old Style"/>
          <w:spacing w:val="4"/>
          <w:sz w:val="22"/>
          <w:szCs w:val="22"/>
        </w:rPr>
        <w:t>.lgs. n. 267 del 2000.</w:t>
      </w:r>
    </w:p>
    <w:p w14:paraId="4975DB94" w14:textId="77777777" w:rsidR="00E808A5" w:rsidRPr="00E7645E" w:rsidRDefault="00E808A5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44406EA9" w14:textId="56D082B7" w:rsidR="00F355D0" w:rsidRPr="00E7645E" w:rsidRDefault="00A97511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bCs/>
          <w:spacing w:val="4"/>
          <w:sz w:val="22"/>
          <w:szCs w:val="22"/>
        </w:rPr>
        <w:t>Ritenuto</w:t>
      </w:r>
      <w:r w:rsidR="009167FA" w:rsidRPr="00E7645E">
        <w:rPr>
          <w:rFonts w:ascii="Bookman Old Style" w:hAnsi="Bookman Old Style"/>
          <w:b/>
          <w:bCs/>
          <w:spacing w:val="4"/>
          <w:sz w:val="22"/>
          <w:szCs w:val="22"/>
        </w:rPr>
        <w:t>,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>pertanto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>,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 xml:space="preserve"> di non differire il termine di versamento relativo alla prima rata </w:t>
      </w:r>
      <w:r w:rsidR="002820C5">
        <w:rPr>
          <w:rFonts w:ascii="Bookman Old Style" w:hAnsi="Bookman Old Style"/>
          <w:spacing w:val="4"/>
          <w:sz w:val="22"/>
          <w:szCs w:val="22"/>
        </w:rPr>
        <w:t>dell’IMU</w:t>
      </w:r>
      <w:r w:rsidR="00177138" w:rsidRPr="00E7645E">
        <w:rPr>
          <w:rFonts w:ascii="Bookman Old Style" w:hAnsi="Bookman Old Style"/>
          <w:spacing w:val="4"/>
          <w:sz w:val="22"/>
          <w:szCs w:val="22"/>
        </w:rPr>
        <w:t xml:space="preserve"> 2020 e di prevedere la non applicazione di sanzioni ed interessi per i contribuenti 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>che hanno registrato difficoltà economiche a causa della pandemia COVID-19 e che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 xml:space="preserve"> effettuano il versamento della rata di acconto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>entro il 30 settembre 2020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bookmarkStart w:id="0" w:name="_Hlk40988805"/>
      <w:r w:rsidR="009167FA" w:rsidRPr="00E7645E">
        <w:rPr>
          <w:rFonts w:ascii="Bookman Old Style" w:hAnsi="Bookman Old Style"/>
          <w:spacing w:val="4"/>
          <w:sz w:val="22"/>
          <w:szCs w:val="22"/>
        </w:rPr>
        <w:t>(</w:t>
      </w:r>
      <w:r w:rsidR="009167FA" w:rsidRPr="00E7645E">
        <w:rPr>
          <w:rFonts w:ascii="Bookman Old Style" w:hAnsi="Bookman Old Style"/>
          <w:i/>
          <w:color w:val="FF0000"/>
          <w:spacing w:val="4"/>
          <w:sz w:val="22"/>
          <w:szCs w:val="22"/>
        </w:rPr>
        <w:t>o altra data individuata dal Comune</w:t>
      </w:r>
      <w:r w:rsidR="009167FA" w:rsidRPr="00E7645E">
        <w:rPr>
          <w:rFonts w:ascii="Bookman Old Style" w:hAnsi="Bookman Old Style"/>
          <w:color w:val="FF0000"/>
          <w:spacing w:val="4"/>
          <w:sz w:val="22"/>
          <w:szCs w:val="22"/>
        </w:rPr>
        <w:t>)</w:t>
      </w:r>
      <w:bookmarkEnd w:id="0"/>
      <w:r w:rsidR="00F355D0"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5B82D112" w14:textId="1169FFF0" w:rsidR="00F355D0" w:rsidRPr="00E7645E" w:rsidRDefault="00F355D0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2A8C4F3D" w14:textId="4EFB1627" w:rsidR="00F94867" w:rsidRPr="00E7645E" w:rsidRDefault="00F94867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bCs/>
          <w:spacing w:val="4"/>
          <w:sz w:val="22"/>
          <w:szCs w:val="22"/>
        </w:rPr>
        <w:t>Dato atto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che non occorre apportare modifiche al bilancio di previsione comunale, trattandosi di un mero differimento del versamento disposto per una parte dei contribuenti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7C85E25E" w14:textId="1768D3C7" w:rsidR="00823BE9" w:rsidRPr="00E7645E" w:rsidRDefault="00A97511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bCs/>
          <w:spacing w:val="4"/>
          <w:sz w:val="22"/>
          <w:szCs w:val="22"/>
        </w:rPr>
        <w:lastRenderedPageBreak/>
        <w:t>Acquisito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il parere favorevole dell'organo di revisione, n. </w:t>
      </w:r>
      <w:r w:rsidR="00E808A5" w:rsidRPr="00E7645E">
        <w:rPr>
          <w:rFonts w:ascii="Bookman Old Style" w:hAnsi="Bookman Old Style"/>
          <w:spacing w:val="4"/>
          <w:sz w:val="22"/>
          <w:szCs w:val="22"/>
        </w:rPr>
        <w:t>00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del </w:t>
      </w:r>
      <w:r w:rsidR="00E808A5" w:rsidRPr="00E7645E">
        <w:rPr>
          <w:rFonts w:ascii="Bookman Old Style" w:hAnsi="Bookman Old Style"/>
          <w:spacing w:val="4"/>
          <w:sz w:val="22"/>
          <w:szCs w:val="22"/>
        </w:rPr>
        <w:t>00/0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>5</w:t>
      </w:r>
      <w:r w:rsidR="00E808A5" w:rsidRPr="00E7645E">
        <w:rPr>
          <w:rFonts w:ascii="Bookman Old Style" w:hAnsi="Bookman Old Style"/>
          <w:spacing w:val="4"/>
          <w:sz w:val="22"/>
          <w:szCs w:val="22"/>
        </w:rPr>
        <w:t>/2020</w:t>
      </w:r>
      <w:r w:rsidRPr="00E7645E">
        <w:rPr>
          <w:rFonts w:ascii="Bookman Old Style" w:hAnsi="Bookman Old Style"/>
          <w:spacing w:val="4"/>
          <w:sz w:val="22"/>
          <w:szCs w:val="22"/>
        </w:rPr>
        <w:t>, allegato al presente</w:t>
      </w:r>
      <w:r w:rsidR="00E808A5"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atto quale parte integrante e sostanziale, reso ai sensi dell'art. 239 del </w:t>
      </w:r>
      <w:r w:rsidR="009167FA" w:rsidRPr="00E7645E">
        <w:rPr>
          <w:rFonts w:ascii="Bookman Old Style" w:hAnsi="Bookman Old Style"/>
          <w:spacing w:val="4"/>
          <w:sz w:val="22"/>
          <w:szCs w:val="22"/>
        </w:rPr>
        <w:t xml:space="preserve">d.lgs.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n. 267</w:t>
      </w:r>
      <w:r w:rsidR="00E808A5" w:rsidRPr="00E7645E">
        <w:rPr>
          <w:rFonts w:ascii="Bookman Old Style" w:hAnsi="Bookman Old Style"/>
          <w:spacing w:val="4"/>
          <w:sz w:val="22"/>
          <w:szCs w:val="22"/>
        </w:rPr>
        <w:t xml:space="preserve"> del </w:t>
      </w:r>
      <w:r w:rsidRPr="00E7645E">
        <w:rPr>
          <w:rFonts w:ascii="Bookman Old Style" w:hAnsi="Bookman Old Style"/>
          <w:spacing w:val="4"/>
          <w:sz w:val="22"/>
          <w:szCs w:val="22"/>
        </w:rPr>
        <w:t>2000</w:t>
      </w:r>
      <w:r w:rsidR="00823BE9"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0FD224B2" w14:textId="77777777" w:rsidR="00A97511" w:rsidRPr="00E7645E" w:rsidRDefault="00A97511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2AF6A0E1" w14:textId="2361FF9F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spacing w:val="4"/>
          <w:sz w:val="22"/>
          <w:szCs w:val="22"/>
        </w:rPr>
        <w:t>Visto che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la presente proposta di deliberazione è stata esaminata in data </w:t>
      </w:r>
      <w:r w:rsidR="00426502" w:rsidRPr="00E7645E">
        <w:rPr>
          <w:rFonts w:ascii="Bookman Old Style" w:hAnsi="Bookman Old Style"/>
          <w:spacing w:val="4"/>
          <w:sz w:val="22"/>
          <w:szCs w:val="22"/>
        </w:rPr>
        <w:t xml:space="preserve"> 00</w:t>
      </w:r>
      <w:r w:rsidRPr="00E7645E">
        <w:rPr>
          <w:rFonts w:ascii="Bookman Old Style" w:hAnsi="Bookman Old Style"/>
          <w:spacing w:val="4"/>
          <w:sz w:val="22"/>
          <w:szCs w:val="22"/>
        </w:rPr>
        <w:t>.0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>5</w:t>
      </w:r>
      <w:r w:rsidRPr="00E7645E">
        <w:rPr>
          <w:rFonts w:ascii="Bookman Old Style" w:hAnsi="Bookman Old Style"/>
          <w:spacing w:val="4"/>
          <w:sz w:val="22"/>
          <w:szCs w:val="22"/>
        </w:rPr>
        <w:t>.2020 dalla Commissione Consiliare ………………………….., come risulta dal verbale trattenuto agli atti d'Ufficio;</w:t>
      </w:r>
    </w:p>
    <w:p w14:paraId="5286A417" w14:textId="77777777" w:rsidR="00567B8D" w:rsidRPr="00E7645E" w:rsidRDefault="00567B8D" w:rsidP="0017459E">
      <w:pPr>
        <w:spacing w:after="40" w:line="276" w:lineRule="auto"/>
        <w:ind w:firstLine="397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6A99C9C1" w14:textId="71D20F78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spacing w:val="4"/>
          <w:sz w:val="22"/>
          <w:szCs w:val="22"/>
        </w:rPr>
        <w:t>Visto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lo schema di proposta predisposto dal Responsabile del Procedimento, </w:t>
      </w:r>
      <w:r w:rsidR="002820C5">
        <w:rPr>
          <w:rFonts w:ascii="Bookman Old Style" w:hAnsi="Bookman Old Style"/>
          <w:spacing w:val="4"/>
          <w:sz w:val="22"/>
          <w:szCs w:val="22"/>
        </w:rPr>
        <w:t>d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ott. 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>………</w:t>
      </w:r>
      <w:r w:rsidR="00860F6E" w:rsidRPr="00E7645E">
        <w:rPr>
          <w:rFonts w:ascii="Bookman Old Style" w:hAnsi="Bookman Old Style"/>
          <w:spacing w:val="4"/>
          <w:sz w:val="22"/>
          <w:szCs w:val="22"/>
        </w:rPr>
        <w:t>……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7071C6E8" w14:textId="77777777" w:rsidR="00823BE9" w:rsidRPr="00E7645E" w:rsidRDefault="00823BE9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28DDEEFF" w14:textId="72E001DD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spacing w:val="4"/>
          <w:sz w:val="22"/>
          <w:szCs w:val="22"/>
        </w:rPr>
        <w:t xml:space="preserve">Visto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l’allegato parere di regolarità tecnica espresso dal Dirigente di Settore, </w:t>
      </w:r>
      <w:r w:rsidR="002820C5">
        <w:rPr>
          <w:rFonts w:ascii="Bookman Old Style" w:hAnsi="Bookman Old Style"/>
          <w:spacing w:val="4"/>
          <w:sz w:val="22"/>
          <w:szCs w:val="22"/>
        </w:rPr>
        <w:t>d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ott. 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>………………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, ai sensi dell’art. 49, comma 1, del 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>d.</w:t>
      </w:r>
      <w:r w:rsidRPr="00E7645E">
        <w:rPr>
          <w:rFonts w:ascii="Bookman Old Style" w:hAnsi="Bookman Old Style"/>
          <w:spacing w:val="4"/>
          <w:sz w:val="22"/>
          <w:szCs w:val="22"/>
        </w:rPr>
        <w:t>lgs. n. 267 del 2000</w:t>
      </w:r>
      <w:r w:rsidR="00823BE9"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6526661B" w14:textId="77777777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0D27FFDD" w14:textId="244CF2B1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b/>
          <w:spacing w:val="4"/>
          <w:sz w:val="22"/>
          <w:szCs w:val="22"/>
        </w:rPr>
        <w:t>Visto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l'allegato parere di regolarità contabile espressa dal Responsabile del Servizio di Ragioneria, dott.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 xml:space="preserve"> …………….</w:t>
      </w:r>
      <w:r w:rsidR="00823BE9" w:rsidRPr="00E7645E">
        <w:rPr>
          <w:rFonts w:ascii="Bookman Old Style" w:hAnsi="Bookman Old Style"/>
          <w:spacing w:val="4"/>
          <w:sz w:val="22"/>
          <w:szCs w:val="22"/>
        </w:rPr>
        <w:t>,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ai sensi dell’art. 49, comma 1, del 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>d.</w:t>
      </w:r>
      <w:r w:rsidRPr="00E7645E">
        <w:rPr>
          <w:rFonts w:ascii="Bookman Old Style" w:hAnsi="Bookman Old Style"/>
          <w:spacing w:val="4"/>
          <w:sz w:val="22"/>
          <w:szCs w:val="22"/>
        </w:rPr>
        <w:t>lgs. n. 267 del 2000</w:t>
      </w:r>
      <w:r w:rsidR="00823BE9"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528F83E5" w14:textId="77777777" w:rsidR="00567B8D" w:rsidRPr="00E7645E" w:rsidRDefault="00567B8D" w:rsidP="0017459E">
      <w:pPr>
        <w:spacing w:after="40" w:line="276" w:lineRule="auto"/>
        <w:jc w:val="both"/>
        <w:rPr>
          <w:rFonts w:ascii="Bookman Old Style" w:hAnsi="Bookman Old Style"/>
          <w:spacing w:val="4"/>
          <w:sz w:val="22"/>
          <w:szCs w:val="22"/>
        </w:rPr>
      </w:pPr>
    </w:p>
    <w:p w14:paraId="66C3D463" w14:textId="77777777" w:rsidR="00567B8D" w:rsidRPr="00E7645E" w:rsidRDefault="00567B8D" w:rsidP="0017459E">
      <w:pPr>
        <w:spacing w:after="40" w:line="276" w:lineRule="auto"/>
        <w:jc w:val="both"/>
        <w:rPr>
          <w:rFonts w:ascii="Bookman Old Style" w:eastAsia="Arial" w:hAnsi="Bookman Old Style"/>
          <w:sz w:val="22"/>
          <w:szCs w:val="22"/>
        </w:rPr>
      </w:pPr>
      <w:r w:rsidRPr="00E7645E">
        <w:rPr>
          <w:rFonts w:ascii="Bookman Old Style" w:eastAsia="Arial" w:hAnsi="Bookman Old Style"/>
          <w:sz w:val="22"/>
          <w:szCs w:val="22"/>
        </w:rPr>
        <w:t>Con voto/i __________________, reso/i per alzata di mano, proclamato/i dal Presidente;</w:t>
      </w:r>
    </w:p>
    <w:p w14:paraId="01B7BEE6" w14:textId="77777777" w:rsidR="00567B8D" w:rsidRPr="00E7645E" w:rsidRDefault="00567B8D" w:rsidP="00174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Bookman Old Style" w:eastAsia="Arial" w:hAnsi="Bookman Old Style"/>
          <w:sz w:val="22"/>
          <w:szCs w:val="22"/>
        </w:rPr>
      </w:pPr>
    </w:p>
    <w:p w14:paraId="0123245F" w14:textId="77777777" w:rsidR="00567B8D" w:rsidRPr="00E7645E" w:rsidRDefault="00567B8D" w:rsidP="00174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Bookman Old Style" w:eastAsia="Arial" w:hAnsi="Bookman Old Style"/>
          <w:sz w:val="22"/>
          <w:szCs w:val="22"/>
        </w:rPr>
      </w:pPr>
    </w:p>
    <w:p w14:paraId="3C370770" w14:textId="2C49E90C" w:rsidR="00567B8D" w:rsidRPr="00E7645E" w:rsidRDefault="00567B8D" w:rsidP="00174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Bookman Old Style" w:eastAsia="Arial" w:hAnsi="Bookman Old Style"/>
          <w:b/>
          <w:sz w:val="22"/>
          <w:szCs w:val="22"/>
        </w:rPr>
      </w:pPr>
      <w:r w:rsidRPr="00E7645E">
        <w:rPr>
          <w:rFonts w:ascii="Bookman Old Style" w:eastAsia="Arial" w:hAnsi="Bookman Old Style"/>
          <w:b/>
          <w:sz w:val="22"/>
          <w:szCs w:val="22"/>
        </w:rPr>
        <w:t>D E L I B E R A</w:t>
      </w:r>
      <w:r w:rsidR="00A035D3" w:rsidRPr="00E7645E">
        <w:rPr>
          <w:rFonts w:ascii="Bookman Old Style" w:eastAsia="Arial" w:hAnsi="Bookman Old Style"/>
          <w:b/>
          <w:sz w:val="22"/>
          <w:szCs w:val="22"/>
        </w:rPr>
        <w:t xml:space="preserve">  </w:t>
      </w:r>
    </w:p>
    <w:p w14:paraId="262523A2" w14:textId="77777777" w:rsidR="00567B8D" w:rsidRPr="00E7645E" w:rsidRDefault="00567B8D" w:rsidP="00174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Bookman Old Style" w:eastAsia="Arial" w:hAnsi="Bookman Old Style"/>
          <w:b/>
          <w:sz w:val="22"/>
          <w:szCs w:val="22"/>
        </w:rPr>
      </w:pPr>
    </w:p>
    <w:p w14:paraId="79D4BD50" w14:textId="77777777" w:rsidR="00567B8D" w:rsidRPr="00E7645E" w:rsidRDefault="00567B8D" w:rsidP="00174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Bookman Old Style" w:eastAsia="Arial" w:hAnsi="Bookman Old Style"/>
          <w:b/>
          <w:sz w:val="22"/>
          <w:szCs w:val="22"/>
        </w:rPr>
      </w:pPr>
    </w:p>
    <w:p w14:paraId="1DE32D95" w14:textId="0640F066" w:rsidR="00F355D0" w:rsidRPr="00E7645E" w:rsidRDefault="00B90D81" w:rsidP="0017459E">
      <w:pPr>
        <w:pStyle w:val="Paragrafoelenco"/>
        <w:numPr>
          <w:ilvl w:val="0"/>
          <w:numId w:val="6"/>
        </w:numPr>
        <w:spacing w:after="40" w:line="276" w:lineRule="auto"/>
        <w:ind w:left="426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di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 xml:space="preserve"> non differire la scadenza dell’acconto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 xml:space="preserve"> 2020, da effettuarsi entro il 16 giugno 2020;</w:t>
      </w:r>
    </w:p>
    <w:p w14:paraId="08262639" w14:textId="2EDE05D4" w:rsidR="00F355D0" w:rsidRPr="00E7645E" w:rsidRDefault="00F355D0" w:rsidP="0017459E">
      <w:pPr>
        <w:pStyle w:val="Paragrafoelenco"/>
        <w:numPr>
          <w:ilvl w:val="0"/>
          <w:numId w:val="6"/>
        </w:numPr>
        <w:spacing w:after="40" w:line="276" w:lineRule="auto"/>
        <w:ind w:left="426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di disporre la non applicazione di sanzioni ed interessi nel caso di versamento dell’acconto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 2020 entro il 30 settembre 2020</w:t>
      </w:r>
      <w:r w:rsidR="007544D5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7544D5" w:rsidRPr="00860F6E">
        <w:rPr>
          <w:rFonts w:ascii="Bookman Old Style" w:hAnsi="Bookman Old Style"/>
          <w:i/>
          <w:iCs/>
          <w:color w:val="FF0000"/>
          <w:spacing w:val="4"/>
          <w:sz w:val="22"/>
          <w:szCs w:val="22"/>
        </w:rPr>
        <w:t>(o altra data individuata dal Comune)</w:t>
      </w:r>
      <w:r w:rsidRPr="00860F6E">
        <w:rPr>
          <w:rFonts w:ascii="Bookman Old Style" w:hAnsi="Bookman Old Style"/>
          <w:spacing w:val="4"/>
          <w:sz w:val="22"/>
          <w:szCs w:val="22"/>
        </w:rPr>
        <w:t>,</w:t>
      </w:r>
      <w:r w:rsidR="00860F6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Pr="00E7645E">
        <w:rPr>
          <w:rFonts w:ascii="Bookman Old Style" w:hAnsi="Bookman Old Style"/>
          <w:spacing w:val="4"/>
          <w:sz w:val="22"/>
          <w:szCs w:val="22"/>
        </w:rPr>
        <w:t>limitatamente ai contribuenti</w:t>
      </w:r>
      <w:r w:rsidR="00B90D81" w:rsidRPr="00E7645E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che hanno registrato difficoltà economiche, da attestarsi entro il </w:t>
      </w:r>
      <w:r w:rsidR="007D2A34" w:rsidRPr="00E7645E">
        <w:rPr>
          <w:rFonts w:ascii="Bookman Old Style" w:hAnsi="Bookman Old Style"/>
          <w:spacing w:val="4"/>
          <w:sz w:val="22"/>
          <w:szCs w:val="22"/>
        </w:rPr>
        <w:t xml:space="preserve">31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ottobre 2020, </w:t>
      </w:r>
      <w:r w:rsidR="007D2A34" w:rsidRPr="00E7645E">
        <w:rPr>
          <w:rFonts w:ascii="Bookman Old Style" w:hAnsi="Bookman Old Style"/>
          <w:spacing w:val="4"/>
          <w:sz w:val="22"/>
          <w:szCs w:val="22"/>
        </w:rPr>
        <w:t xml:space="preserve">a pena di decadenza dal beneficio, </w:t>
      </w:r>
      <w:r w:rsidRPr="00E7645E">
        <w:rPr>
          <w:rFonts w:ascii="Bookman Old Style" w:hAnsi="Bookman Old Style"/>
          <w:spacing w:val="4"/>
          <w:sz w:val="22"/>
          <w:szCs w:val="22"/>
        </w:rPr>
        <w:t>su modello predisposto dal Comune;</w:t>
      </w:r>
    </w:p>
    <w:p w14:paraId="1794A0A0" w14:textId="58EBBA98" w:rsidR="00B90D81" w:rsidRPr="00E7645E" w:rsidRDefault="00B90D81" w:rsidP="0017459E">
      <w:pPr>
        <w:pStyle w:val="Paragrafoelenco"/>
        <w:numPr>
          <w:ilvl w:val="0"/>
          <w:numId w:val="6"/>
        </w:numPr>
        <w:spacing w:after="40" w:line="276" w:lineRule="auto"/>
        <w:ind w:left="426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di dare atto che la presente deliberazione entra in vigore, ai sensi dell'art. </w:t>
      </w:r>
      <w:r w:rsidR="00716BC9" w:rsidRPr="00E7645E">
        <w:rPr>
          <w:rFonts w:ascii="Bookman Old Style" w:hAnsi="Bookman Old Style"/>
          <w:spacing w:val="4"/>
          <w:sz w:val="22"/>
          <w:szCs w:val="22"/>
        </w:rPr>
        <w:t xml:space="preserve">53, comma 16, legge n. 388 del 2000, </w:t>
      </w:r>
      <w:r w:rsidR="00E10E05" w:rsidRPr="00E7645E">
        <w:rPr>
          <w:rFonts w:ascii="Bookman Old Style" w:hAnsi="Bookman Old Style"/>
          <w:spacing w:val="4"/>
          <w:sz w:val="22"/>
          <w:szCs w:val="22"/>
        </w:rPr>
        <w:t xml:space="preserve">il </w:t>
      </w:r>
      <w:r w:rsidRPr="00E7645E">
        <w:rPr>
          <w:rFonts w:ascii="Bookman Old Style" w:hAnsi="Bookman Old Style"/>
          <w:spacing w:val="4"/>
          <w:sz w:val="22"/>
          <w:szCs w:val="22"/>
        </w:rPr>
        <w:t>1° gennaio 20</w:t>
      </w:r>
      <w:r w:rsidR="00716BC9" w:rsidRPr="00E7645E">
        <w:rPr>
          <w:rFonts w:ascii="Bookman Old Style" w:hAnsi="Bookman Old Style"/>
          <w:spacing w:val="4"/>
          <w:sz w:val="22"/>
          <w:szCs w:val="22"/>
        </w:rPr>
        <w:t>20;</w:t>
      </w:r>
    </w:p>
    <w:p w14:paraId="39C1E46A" w14:textId="0FB11A20" w:rsidR="00716BC9" w:rsidRPr="00E7645E" w:rsidRDefault="00716BC9" w:rsidP="0017459E">
      <w:pPr>
        <w:pStyle w:val="Paragrafoelenco"/>
        <w:numPr>
          <w:ilvl w:val="0"/>
          <w:numId w:val="6"/>
        </w:numPr>
        <w:spacing w:after="40" w:line="276" w:lineRule="auto"/>
        <w:ind w:left="426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>di dare atto che ai sensi dell’art. 1, comma 767 della legge n. 160 del 2019, la presente deliberazione sarà efficace a seguito dell’avvenuta pubblicazione sul sito internet del Dipartimento delle finanze del Ministero dell'economia e delle finanze e che ai fini della pubblicazione il Comune è tenuto a inserire la delibera entro il termine perentorio del 14 ottobre 2020, nell'apposita sezione del Portale del federalismo fiscale</w:t>
      </w:r>
      <w:r w:rsidR="00F355D0" w:rsidRPr="00E7645E">
        <w:rPr>
          <w:rFonts w:ascii="Bookman Old Style" w:hAnsi="Bookman Old Style"/>
          <w:spacing w:val="4"/>
          <w:sz w:val="22"/>
          <w:szCs w:val="22"/>
        </w:rPr>
        <w:t>.</w:t>
      </w:r>
    </w:p>
    <w:p w14:paraId="31182388" w14:textId="77777777" w:rsidR="00F355D0" w:rsidRPr="00E7645E" w:rsidRDefault="00F355D0" w:rsidP="0017459E">
      <w:pPr>
        <w:pStyle w:val="Paragrafoelenco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86"/>
        <w:jc w:val="both"/>
        <w:rPr>
          <w:rFonts w:ascii="Bookman Old Style" w:hAnsi="Bookman Old Style"/>
          <w:sz w:val="22"/>
          <w:szCs w:val="22"/>
        </w:rPr>
      </w:pPr>
    </w:p>
    <w:p w14:paraId="08354E71" w14:textId="77777777" w:rsidR="00860F6E" w:rsidRDefault="00F355D0" w:rsidP="001745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Bookman Old Style" w:eastAsia="Arial" w:hAnsi="Bookman Old Style"/>
          <w:b/>
          <w:sz w:val="22"/>
          <w:szCs w:val="22"/>
        </w:rPr>
      </w:pPr>
      <w:r w:rsidRPr="00E7645E">
        <w:rPr>
          <w:rFonts w:ascii="Bookman Old Style" w:eastAsia="Arial" w:hAnsi="Bookman Old Style"/>
          <w:b/>
          <w:sz w:val="22"/>
          <w:szCs w:val="22"/>
        </w:rPr>
        <w:t xml:space="preserve">D I C H I A R A </w:t>
      </w:r>
    </w:p>
    <w:p w14:paraId="000F0C63" w14:textId="77777777" w:rsidR="00860F6E" w:rsidRPr="00E7645E" w:rsidRDefault="00860F6E" w:rsidP="00860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Bookman Old Style" w:eastAsia="Arial" w:hAnsi="Bookman Old Style"/>
          <w:b/>
          <w:sz w:val="22"/>
          <w:szCs w:val="22"/>
        </w:rPr>
      </w:pPr>
    </w:p>
    <w:p w14:paraId="5C5AE271" w14:textId="77777777" w:rsidR="00860F6E" w:rsidRPr="00E7645E" w:rsidRDefault="00860F6E" w:rsidP="00860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Bookman Old Style" w:eastAsia="Arial" w:hAnsi="Bookman Old Style"/>
          <w:b/>
          <w:sz w:val="22"/>
          <w:szCs w:val="22"/>
        </w:rPr>
      </w:pPr>
    </w:p>
    <w:p w14:paraId="3F683302" w14:textId="59166A26" w:rsidR="00F355D0" w:rsidRPr="00E7645E" w:rsidRDefault="00F355D0" w:rsidP="0017459E">
      <w:pPr>
        <w:pStyle w:val="Paragrafoelenco"/>
        <w:spacing w:after="40" w:line="276" w:lineRule="auto"/>
        <w:ind w:left="0"/>
        <w:jc w:val="both"/>
        <w:rPr>
          <w:rFonts w:ascii="Bookman Old Style" w:hAnsi="Bookman Old Style"/>
          <w:spacing w:val="4"/>
          <w:sz w:val="22"/>
          <w:szCs w:val="22"/>
        </w:rPr>
      </w:pPr>
      <w:r w:rsidRPr="00E7645E">
        <w:rPr>
          <w:rFonts w:ascii="Bookman Old Style" w:hAnsi="Bookman Old Style"/>
          <w:spacing w:val="4"/>
          <w:sz w:val="22"/>
          <w:szCs w:val="22"/>
        </w:rPr>
        <w:t xml:space="preserve">ai sensi dell’art. 134, comma 4, del 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 xml:space="preserve">d.lgs. </w:t>
      </w:r>
      <w:r w:rsidRPr="00E7645E">
        <w:rPr>
          <w:rFonts w:ascii="Bookman Old Style" w:hAnsi="Bookman Old Style"/>
          <w:spacing w:val="4"/>
          <w:sz w:val="22"/>
          <w:szCs w:val="22"/>
        </w:rPr>
        <w:t xml:space="preserve">n. 267 del 2000, immediatamente eseguibile il presente atto, considerando </w:t>
      </w:r>
      <w:r w:rsidR="005B13A2" w:rsidRPr="00E7645E">
        <w:rPr>
          <w:rFonts w:ascii="Bookman Old Style" w:hAnsi="Bookman Old Style"/>
          <w:spacing w:val="4"/>
          <w:sz w:val="22"/>
          <w:szCs w:val="22"/>
        </w:rPr>
        <w:t xml:space="preserve">l’approssimarsi della scadenza della rata di acconto </w:t>
      </w:r>
      <w:r w:rsidR="002820C5">
        <w:rPr>
          <w:rFonts w:ascii="Bookman Old Style" w:hAnsi="Bookman Old Style"/>
          <w:spacing w:val="4"/>
          <w:sz w:val="22"/>
          <w:szCs w:val="22"/>
        </w:rPr>
        <w:t>IMU</w:t>
      </w:r>
      <w:r w:rsidR="005B13A2" w:rsidRPr="00E7645E">
        <w:rPr>
          <w:rFonts w:ascii="Bookman Old Style" w:hAnsi="Bookman Old Style"/>
          <w:spacing w:val="4"/>
          <w:sz w:val="22"/>
          <w:szCs w:val="22"/>
        </w:rPr>
        <w:t xml:space="preserve"> del 16 giugno 2020 e la necessità di garantire un’adeguata informazione </w:t>
      </w:r>
      <w:r w:rsidR="00BD360C" w:rsidRPr="00E7645E">
        <w:rPr>
          <w:rFonts w:ascii="Bookman Old Style" w:hAnsi="Bookman Old Style"/>
          <w:spacing w:val="4"/>
          <w:sz w:val="22"/>
          <w:szCs w:val="22"/>
        </w:rPr>
        <w:t xml:space="preserve">ai </w:t>
      </w:r>
      <w:r w:rsidR="005B13A2" w:rsidRPr="00E7645E">
        <w:rPr>
          <w:rFonts w:ascii="Bookman Old Style" w:hAnsi="Bookman Old Style"/>
          <w:spacing w:val="4"/>
          <w:sz w:val="22"/>
          <w:szCs w:val="22"/>
        </w:rPr>
        <w:t xml:space="preserve">contribuenti. </w:t>
      </w:r>
    </w:p>
    <w:sectPr w:rsidR="00F355D0" w:rsidRPr="00E7645E">
      <w:headerReference w:type="first" r:id="rId11"/>
      <w:pgSz w:w="11906" w:h="16838"/>
      <w:pgMar w:top="1417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BE40E" w14:textId="77777777" w:rsidR="00C0578A" w:rsidRDefault="00C0578A" w:rsidP="00567B8D">
      <w:r>
        <w:separator/>
      </w:r>
    </w:p>
  </w:endnote>
  <w:endnote w:type="continuationSeparator" w:id="0">
    <w:p w14:paraId="75FD555B" w14:textId="77777777" w:rsidR="00C0578A" w:rsidRDefault="00C0578A" w:rsidP="0056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E2F60" w14:textId="77777777" w:rsidR="00C0578A" w:rsidRDefault="00C0578A" w:rsidP="00567B8D">
      <w:r>
        <w:separator/>
      </w:r>
    </w:p>
  </w:footnote>
  <w:footnote w:type="continuationSeparator" w:id="0">
    <w:p w14:paraId="061F0199" w14:textId="77777777" w:rsidR="00C0578A" w:rsidRDefault="00C0578A" w:rsidP="0056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C568" w14:textId="004E4967" w:rsidR="002D33A9" w:rsidRPr="002D33A9" w:rsidRDefault="002D33A9" w:rsidP="00E7645E">
    <w:pPr>
      <w:pStyle w:val="Intestazione"/>
      <w:spacing w:after="360"/>
    </w:pPr>
    <w:r>
      <w:rPr>
        <w:noProof/>
      </w:rPr>
      <w:drawing>
        <wp:inline distT="0" distB="0" distL="0" distR="0" wp14:anchorId="09672FE2" wp14:editId="53C6FAF3">
          <wp:extent cx="846455" cy="723265"/>
          <wp:effectExtent l="0" t="0" r="0" b="635"/>
          <wp:docPr id="1" name="Immagine 1" descr="Fondazione I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Fondazione I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A3CF0"/>
    <w:multiLevelType w:val="hybridMultilevel"/>
    <w:tmpl w:val="F46423A2"/>
    <w:lvl w:ilvl="0" w:tplc="4D24CD06">
      <w:numFmt w:val="bullet"/>
      <w:lvlText w:val="-"/>
      <w:lvlJc w:val="left"/>
      <w:pPr>
        <w:ind w:left="-164" w:hanging="63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" w15:restartNumberingAfterBreak="0">
    <w:nsid w:val="1148206C"/>
    <w:multiLevelType w:val="hybridMultilevel"/>
    <w:tmpl w:val="FDAC460E"/>
    <w:lvl w:ilvl="0" w:tplc="97FC321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5C41AA0"/>
    <w:multiLevelType w:val="hybridMultilevel"/>
    <w:tmpl w:val="FDAC460E"/>
    <w:lvl w:ilvl="0" w:tplc="97FC321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F6F36B7"/>
    <w:multiLevelType w:val="hybridMultilevel"/>
    <w:tmpl w:val="68BEBD6C"/>
    <w:lvl w:ilvl="0" w:tplc="7F24F4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B70B6"/>
    <w:multiLevelType w:val="hybridMultilevel"/>
    <w:tmpl w:val="68BEBD6C"/>
    <w:lvl w:ilvl="0" w:tplc="7F24F45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E073142"/>
    <w:multiLevelType w:val="hybridMultilevel"/>
    <w:tmpl w:val="C7824EEC"/>
    <w:lvl w:ilvl="0" w:tplc="88E8957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MjIwMjM0MjI3tDBQ0lEKTi0uzszPAykwqgUAQHaUuCwAAAA="/>
  </w:docVars>
  <w:rsids>
    <w:rsidRoot w:val="00567B8D"/>
    <w:rsid w:val="000C7467"/>
    <w:rsid w:val="001324AE"/>
    <w:rsid w:val="0017459E"/>
    <w:rsid w:val="00177138"/>
    <w:rsid w:val="001B18FE"/>
    <w:rsid w:val="001F1B18"/>
    <w:rsid w:val="002215DC"/>
    <w:rsid w:val="00223185"/>
    <w:rsid w:val="002820C5"/>
    <w:rsid w:val="00297DAF"/>
    <w:rsid w:val="002D33A9"/>
    <w:rsid w:val="00307D1A"/>
    <w:rsid w:val="00345D3D"/>
    <w:rsid w:val="003B6766"/>
    <w:rsid w:val="003E2656"/>
    <w:rsid w:val="00425AD8"/>
    <w:rsid w:val="00426502"/>
    <w:rsid w:val="00567B8D"/>
    <w:rsid w:val="005776E5"/>
    <w:rsid w:val="00594718"/>
    <w:rsid w:val="005B13A2"/>
    <w:rsid w:val="005F3EED"/>
    <w:rsid w:val="006D056F"/>
    <w:rsid w:val="006F0B11"/>
    <w:rsid w:val="00716BC9"/>
    <w:rsid w:val="007544D5"/>
    <w:rsid w:val="007D2A34"/>
    <w:rsid w:val="00823BE9"/>
    <w:rsid w:val="00860F6E"/>
    <w:rsid w:val="009167FA"/>
    <w:rsid w:val="00A035D3"/>
    <w:rsid w:val="00A1435D"/>
    <w:rsid w:val="00A97511"/>
    <w:rsid w:val="00AC51F9"/>
    <w:rsid w:val="00AF6CA1"/>
    <w:rsid w:val="00B5279B"/>
    <w:rsid w:val="00B90D81"/>
    <w:rsid w:val="00BD360C"/>
    <w:rsid w:val="00C0578A"/>
    <w:rsid w:val="00C3267D"/>
    <w:rsid w:val="00CC5474"/>
    <w:rsid w:val="00D23A72"/>
    <w:rsid w:val="00E10E05"/>
    <w:rsid w:val="00E33F43"/>
    <w:rsid w:val="00E7645E"/>
    <w:rsid w:val="00E808A5"/>
    <w:rsid w:val="00F355D0"/>
    <w:rsid w:val="00F70752"/>
    <w:rsid w:val="00F94867"/>
    <w:rsid w:val="00FA446E"/>
    <w:rsid w:val="00F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F92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67B8D"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67B8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67B8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67B8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67B8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90D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B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BC9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grassetto">
    <w:name w:val="grassetto"/>
    <w:basedOn w:val="Normale"/>
    <w:rsid w:val="00345D3D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45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45D3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345D3D"/>
  </w:style>
  <w:style w:type="character" w:customStyle="1" w:styleId="provvnumcomma">
    <w:name w:val="provv_numcomma"/>
    <w:basedOn w:val="Carpredefinitoparagrafo"/>
    <w:rsid w:val="00177138"/>
  </w:style>
  <w:style w:type="character" w:customStyle="1" w:styleId="linkneltesto">
    <w:name w:val="link_nel_testo"/>
    <w:basedOn w:val="Carpredefinitoparagrafo"/>
    <w:rsid w:val="00177138"/>
  </w:style>
  <w:style w:type="paragraph" w:styleId="Intestazione">
    <w:name w:val="header"/>
    <w:basedOn w:val="Normale"/>
    <w:link w:val="IntestazioneCarattere"/>
    <w:unhideWhenUsed/>
    <w:rsid w:val="002D33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D33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33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3A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bd01.leggiditalia.it/cgi-bin/FulShow?TIPO=5&amp;NOTXT=1&amp;KEY=01LX0000109812ART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CD2FB083459A4694BC7614C1F0D5F2" ma:contentTypeVersion="12" ma:contentTypeDescription="Creare un nuovo documento." ma:contentTypeScope="" ma:versionID="8111fabd56203c73cabba288f5a525a1">
  <xsd:schema xmlns:xsd="http://www.w3.org/2001/XMLSchema" xmlns:xs="http://www.w3.org/2001/XMLSchema" xmlns:p="http://schemas.microsoft.com/office/2006/metadata/properties" xmlns:ns3="186c77a3-b6ef-4b43-b529-f319c70414ca" xmlns:ns4="69c0232b-701e-4df0-bab4-c1459f18139f" targetNamespace="http://schemas.microsoft.com/office/2006/metadata/properties" ma:root="true" ma:fieldsID="e50363f5b9f457d8690dfb3731febbd2" ns3:_="" ns4:_="">
    <xsd:import namespace="186c77a3-b6ef-4b43-b529-f319c70414ca"/>
    <xsd:import namespace="69c0232b-701e-4df0-bab4-c1459f181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c77a3-b6ef-4b43-b529-f319c7041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232b-701e-4df0-bab4-c1459f181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9CECB-0D90-491B-B02B-9F8F9FC035C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9c0232b-701e-4df0-bab4-c1459f18139f"/>
    <ds:schemaRef ds:uri="186c77a3-b6ef-4b43-b529-f319c70414ca"/>
  </ds:schemaRefs>
</ds:datastoreItem>
</file>

<file path=customXml/itemProps2.xml><?xml version="1.0" encoding="utf-8"?>
<ds:datastoreItem xmlns:ds="http://schemas.openxmlformats.org/officeDocument/2006/customXml" ds:itemID="{A4663CCF-7D17-4A62-9C90-252DB36A0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EC748-05CB-4FE9-8A2E-2FA7D0B83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c77a3-b6ef-4b43-b529-f319c70414ca"/>
    <ds:schemaRef ds:uri="69c0232b-701e-4df0-bab4-c1459f18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2020-05-21T21:12:00Z</dcterms:created>
  <dcterms:modified xsi:type="dcterms:W3CDTF">2020-05-21T21:12:00Z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0x01010011CD2FB083459A4694BC7614C1F0D5F2</vt:lpwstr>
  </property>
</Properties>
</file>